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4AAB5" w14:textId="357C9737" w:rsidR="00C20BBA" w:rsidRDefault="00B61B1A">
      <w:r w:rsidRPr="00B61B1A">
        <w:t>Dalla corporate communication alla sperimentazione concreta sulla frontiera delle narrazioni digitali, Filippo porta il suo sguardo di noneconomista per interrogarsi sul futuro della scrittura, del lavoro e della moneta. Consulente e traumaturgo.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1A"/>
    <w:rsid w:val="00B61B1A"/>
    <w:rsid w:val="00C20BBA"/>
    <w:rsid w:val="00C9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D9A2"/>
  <w15:chartTrackingRefBased/>
  <w15:docId w15:val="{C95F5BDC-1F2C-492D-AA20-775456592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1B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1B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61B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61B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61B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61B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61B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61B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61B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61B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61B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61B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61B1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61B1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61B1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61B1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61B1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61B1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61B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61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61B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61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61B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61B1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61B1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61B1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61B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61B1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61B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2024-10-26T11:56:00Z</dcterms:created>
  <dcterms:modified xsi:type="dcterms:W3CDTF">2024-10-26T11:56:00Z</dcterms:modified>
</cp:coreProperties>
</file>